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2CC0" w14:textId="2D9FD1D3" w:rsidR="005A0F7C" w:rsidRPr="005A0F7C" w:rsidRDefault="005A0F7C" w:rsidP="005A0F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M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M"/>
          <w14:ligatures w14:val="none"/>
        </w:rPr>
        <w:t>T</w:t>
      </w:r>
      <w:r w:rsidRPr="005A0F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M"/>
          <w14:ligatures w14:val="none"/>
        </w:rPr>
        <w:t>ableau comparatif simplifié 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M"/>
          <w14:ligatures w14:val="none"/>
        </w:rPr>
        <w:t xml:space="preserve"> PPO APC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3280"/>
        <w:gridCol w:w="4014"/>
      </w:tblGrid>
      <w:tr w:rsidR="005A0F7C" w:rsidRPr="005A0F7C" w14:paraId="78AFEFC2" w14:textId="77777777" w:rsidTr="005A0F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5A967F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Caractéristique</w:t>
            </w:r>
          </w:p>
        </w:tc>
        <w:tc>
          <w:tcPr>
            <w:tcW w:w="0" w:type="auto"/>
            <w:vAlign w:val="center"/>
            <w:hideMark/>
          </w:tcPr>
          <w:p w14:paraId="644C4A52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Pédagogie par Objectifs (PPO)</w:t>
            </w:r>
          </w:p>
        </w:tc>
        <w:tc>
          <w:tcPr>
            <w:tcW w:w="0" w:type="auto"/>
            <w:vAlign w:val="center"/>
            <w:hideMark/>
          </w:tcPr>
          <w:p w14:paraId="5DCC10DE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Approche par Compétences (APC)</w:t>
            </w:r>
          </w:p>
        </w:tc>
      </w:tr>
      <w:tr w:rsidR="005A0F7C" w:rsidRPr="005A0F7C" w14:paraId="15FF04EA" w14:textId="77777777" w:rsidTr="005A0F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DE0E3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14:paraId="2DF91E3C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Comportements observables et mesurables</w:t>
            </w:r>
          </w:p>
        </w:tc>
        <w:tc>
          <w:tcPr>
            <w:tcW w:w="0" w:type="auto"/>
            <w:vAlign w:val="center"/>
            <w:hideMark/>
          </w:tcPr>
          <w:p w14:paraId="4909BF5C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Mobilisation de ressources pour résoudre des situations complexes</w:t>
            </w:r>
          </w:p>
        </w:tc>
      </w:tr>
      <w:tr w:rsidR="005A0F7C" w:rsidRPr="005A0F7C" w14:paraId="6BA11BA0" w14:textId="77777777" w:rsidTr="005A0F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C4C56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Nature des acquis</w:t>
            </w:r>
          </w:p>
        </w:tc>
        <w:tc>
          <w:tcPr>
            <w:tcW w:w="0" w:type="auto"/>
            <w:vAlign w:val="center"/>
            <w:hideMark/>
          </w:tcPr>
          <w:p w14:paraId="1CB97C73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Savoirs et savoir-faire isolés</w:t>
            </w:r>
          </w:p>
        </w:tc>
        <w:tc>
          <w:tcPr>
            <w:tcW w:w="0" w:type="auto"/>
            <w:vAlign w:val="center"/>
            <w:hideMark/>
          </w:tcPr>
          <w:p w14:paraId="12E80F56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Compétences intégrées (savoirs, savoir-faire, savoir-être)</w:t>
            </w:r>
          </w:p>
        </w:tc>
      </w:tr>
      <w:tr w:rsidR="005A0F7C" w:rsidRPr="005A0F7C" w14:paraId="3B25C0FF" w14:textId="77777777" w:rsidTr="005A0F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DAA9C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Rôle de l'enseignant</w:t>
            </w:r>
          </w:p>
        </w:tc>
        <w:tc>
          <w:tcPr>
            <w:tcW w:w="0" w:type="auto"/>
            <w:vAlign w:val="center"/>
            <w:hideMark/>
          </w:tcPr>
          <w:p w14:paraId="0776E24A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Transmetteur, prescripteur, contrôleur</w:t>
            </w:r>
          </w:p>
        </w:tc>
        <w:tc>
          <w:tcPr>
            <w:tcW w:w="0" w:type="auto"/>
            <w:vAlign w:val="center"/>
            <w:hideMark/>
          </w:tcPr>
          <w:p w14:paraId="76D3EC86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Facilitateur, accompagnateur, concepteur de situations</w:t>
            </w:r>
          </w:p>
        </w:tc>
      </w:tr>
      <w:tr w:rsidR="005A0F7C" w:rsidRPr="005A0F7C" w14:paraId="6498BB2E" w14:textId="77777777" w:rsidTr="005A0F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9DB44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Rôle de l'apprenant</w:t>
            </w:r>
          </w:p>
        </w:tc>
        <w:tc>
          <w:tcPr>
            <w:tcW w:w="0" w:type="auto"/>
            <w:vAlign w:val="center"/>
            <w:hideMark/>
          </w:tcPr>
          <w:p w14:paraId="220D975F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Exécutant, récepteur</w:t>
            </w:r>
          </w:p>
        </w:tc>
        <w:tc>
          <w:tcPr>
            <w:tcW w:w="0" w:type="auto"/>
            <w:vAlign w:val="center"/>
            <w:hideMark/>
          </w:tcPr>
          <w:p w14:paraId="7E74DEEA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Acteur, constructeur, résolveur de problèmes</w:t>
            </w:r>
          </w:p>
        </w:tc>
      </w:tr>
      <w:tr w:rsidR="005A0F7C" w:rsidRPr="005A0F7C" w14:paraId="23C53258" w14:textId="77777777" w:rsidTr="005A0F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1BD6F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Contenu</w:t>
            </w:r>
          </w:p>
        </w:tc>
        <w:tc>
          <w:tcPr>
            <w:tcW w:w="0" w:type="auto"/>
            <w:vAlign w:val="center"/>
            <w:hideMark/>
          </w:tcPr>
          <w:p w14:paraId="24DD307B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Découpé, souvent décontextualisé</w:t>
            </w:r>
          </w:p>
        </w:tc>
        <w:tc>
          <w:tcPr>
            <w:tcW w:w="0" w:type="auto"/>
            <w:vAlign w:val="center"/>
            <w:hideMark/>
          </w:tcPr>
          <w:p w14:paraId="54999A67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Intégré dans des situations réelles et significatives</w:t>
            </w:r>
          </w:p>
        </w:tc>
      </w:tr>
      <w:tr w:rsidR="005A0F7C" w:rsidRPr="005A0F7C" w14:paraId="53AD20AB" w14:textId="77777777" w:rsidTr="005A0F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91409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Évaluation</w:t>
            </w:r>
          </w:p>
        </w:tc>
        <w:tc>
          <w:tcPr>
            <w:tcW w:w="0" w:type="auto"/>
            <w:vAlign w:val="center"/>
            <w:hideMark/>
          </w:tcPr>
          <w:p w14:paraId="45F294B5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Vérification de l'atteinte d'objectifs précis (souvent sommative)</w:t>
            </w:r>
          </w:p>
        </w:tc>
        <w:tc>
          <w:tcPr>
            <w:tcW w:w="0" w:type="auto"/>
            <w:vAlign w:val="center"/>
            <w:hideMark/>
          </w:tcPr>
          <w:p w14:paraId="063FABC4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Évaluation de la capacité à agir en situation (souvent plus holistique et formative)</w:t>
            </w:r>
          </w:p>
        </w:tc>
      </w:tr>
      <w:tr w:rsidR="005A0F7C" w:rsidRPr="005A0F7C" w14:paraId="1BD7E6FE" w14:textId="77777777" w:rsidTr="005A0F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B2F3E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Finalité</w:t>
            </w:r>
          </w:p>
        </w:tc>
        <w:tc>
          <w:tcPr>
            <w:tcW w:w="0" w:type="auto"/>
            <w:vAlign w:val="center"/>
            <w:hideMark/>
          </w:tcPr>
          <w:p w14:paraId="14E01F50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Maîtrise de connaissances et de techniques spécifiques</w:t>
            </w:r>
          </w:p>
        </w:tc>
        <w:tc>
          <w:tcPr>
            <w:tcW w:w="0" w:type="auto"/>
            <w:vAlign w:val="center"/>
            <w:hideMark/>
          </w:tcPr>
          <w:p w14:paraId="751E05F8" w14:textId="77777777" w:rsidR="005A0F7C" w:rsidRPr="005A0F7C" w:rsidRDefault="005A0F7C" w:rsidP="005A0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5A0F7C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Préparation à l'insertion sociale et professionnelle, autonomie, transfert des acquis</w:t>
            </w:r>
          </w:p>
        </w:tc>
      </w:tr>
    </w:tbl>
    <w:p w14:paraId="1D34E659" w14:textId="77777777" w:rsidR="004C726B" w:rsidRDefault="004C726B"/>
    <w:sectPr w:rsidR="004C7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7C"/>
    <w:rsid w:val="00230561"/>
    <w:rsid w:val="002E22AE"/>
    <w:rsid w:val="004C726B"/>
    <w:rsid w:val="005A0F7C"/>
    <w:rsid w:val="00C36B04"/>
    <w:rsid w:val="00FB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345B"/>
  <w15:chartTrackingRefBased/>
  <w15:docId w15:val="{500F7DCE-6D96-45B3-B4DC-212B6E37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0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0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0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0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0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0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0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0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0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0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0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0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0F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0F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0F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0F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0F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0F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0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0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0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0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0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0F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0F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0F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0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0F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0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4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PADESCE_DLI5B</dc:creator>
  <cp:keywords/>
  <dc:description/>
  <cp:lastModifiedBy>PADESCE_DLI5B</cp:lastModifiedBy>
  <cp:revision>2</cp:revision>
  <dcterms:created xsi:type="dcterms:W3CDTF">2025-08-05T14:47:00Z</dcterms:created>
  <dcterms:modified xsi:type="dcterms:W3CDTF">2025-08-05T14:47:00Z</dcterms:modified>
</cp:coreProperties>
</file>